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15"/>
      </w:tblGrid>
      <w:tr w:rsidR="00F51626" w:rsidRPr="00444DAD" w:rsidTr="00CF1E5C">
        <w:trPr>
          <w:trHeight w:val="781"/>
        </w:trPr>
        <w:tc>
          <w:tcPr>
            <w:tcW w:w="8315" w:type="dxa"/>
            <w:tcBorders>
              <w:top w:val="nil"/>
              <w:left w:val="nil"/>
              <w:bottom w:val="nil"/>
              <w:right w:val="nil"/>
            </w:tcBorders>
          </w:tcPr>
          <w:p w:rsidR="00F51626" w:rsidRPr="00705FEA" w:rsidRDefault="00F51626" w:rsidP="00CF1E5C">
            <w:pPr>
              <w:rPr>
                <w:rFonts w:ascii="Calibri" w:eastAsia="Calibri" w:hAnsi="Calibri"/>
                <w:sz w:val="22"/>
                <w:szCs w:val="22"/>
              </w:rPr>
            </w:pPr>
            <w:r>
              <w:rPr>
                <w:rFonts w:ascii="Calibri" w:eastAsia="Calibri" w:hAnsi="Calibri"/>
                <w:noProof/>
                <w:sz w:val="22"/>
                <w:szCs w:val="22"/>
                <w:lang w:eastAsia="zh-CN"/>
              </w:rPr>
              <w:drawing>
                <wp:inline distT="0" distB="0" distL="0" distR="0">
                  <wp:extent cx="2500630" cy="80137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500630" cy="801370"/>
                          </a:xfrm>
                          <a:prstGeom prst="rect">
                            <a:avLst/>
                          </a:prstGeom>
                          <a:noFill/>
                          <a:ln w="9525">
                            <a:noFill/>
                            <a:miter lim="800000"/>
                            <a:headEnd/>
                            <a:tailEnd/>
                          </a:ln>
                        </pic:spPr>
                      </pic:pic>
                    </a:graphicData>
                  </a:graphic>
                </wp:inline>
              </w:drawing>
            </w:r>
          </w:p>
        </w:tc>
      </w:tr>
    </w:tbl>
    <w:p w:rsidR="00F51626" w:rsidRPr="00454B77" w:rsidRDefault="00F51626" w:rsidP="00F51626">
      <w:pPr>
        <w:rPr>
          <w:rFonts w:ascii="Calibri" w:hAnsi="Calibri"/>
          <w:b/>
          <w:sz w:val="12"/>
          <w:szCs w:val="12"/>
        </w:rPr>
      </w:pPr>
    </w:p>
    <w:p w:rsidR="00F51626" w:rsidRPr="00B66889" w:rsidRDefault="00F51626" w:rsidP="00F51626">
      <w:r w:rsidRPr="00B66889">
        <w:rPr>
          <w:rFonts w:ascii="Calibri" w:hAnsi="Calibri"/>
          <w:b/>
        </w:rPr>
        <w:t xml:space="preserve">ABN 28 100 968 885       </w:t>
      </w:r>
      <w:r w:rsidRPr="00B66889">
        <w:rPr>
          <w:rFonts w:ascii="Calibri" w:hAnsi="Calibri"/>
          <w:b/>
        </w:rPr>
        <w:tab/>
      </w:r>
      <w:r w:rsidRPr="00B66889">
        <w:rPr>
          <w:rFonts w:ascii="Calibri" w:hAnsi="Calibri"/>
          <w:b/>
        </w:rPr>
        <w:tab/>
      </w:r>
      <w:r w:rsidRPr="00B66889">
        <w:rPr>
          <w:rFonts w:ascii="Calibri" w:hAnsi="Calibri"/>
          <w:b/>
        </w:rPr>
        <w:tab/>
      </w:r>
      <w:r w:rsidRPr="00B66889">
        <w:rPr>
          <w:rFonts w:ascii="Calibri" w:hAnsi="Calibri"/>
          <w:b/>
        </w:rPr>
        <w:tab/>
        <w:t xml:space="preserve"> </w:t>
      </w:r>
    </w:p>
    <w:p w:rsidR="00F51626" w:rsidRPr="00B66889" w:rsidRDefault="00F51626" w:rsidP="00F51626">
      <w:pPr>
        <w:rPr>
          <w:rFonts w:ascii="Calibri" w:hAnsi="Calibri"/>
          <w:b/>
        </w:rPr>
      </w:pPr>
      <w:r w:rsidRPr="00B66889">
        <w:rPr>
          <w:rFonts w:ascii="Calibri" w:hAnsi="Calibri"/>
          <w:b/>
        </w:rPr>
        <w:t xml:space="preserve">Bick Hire Pty Ltd  </w:t>
      </w:r>
    </w:p>
    <w:p w:rsidR="00F51626" w:rsidRPr="00B66889" w:rsidRDefault="00F51626" w:rsidP="00F51626">
      <w:r w:rsidRPr="00B66889">
        <w:rPr>
          <w:rFonts w:ascii="Calibri" w:hAnsi="Calibri"/>
          <w:b/>
        </w:rPr>
        <w:t xml:space="preserve">Civil, Plant &amp; Truck Hire          </w:t>
      </w:r>
      <w:r w:rsidRPr="00B66889">
        <w:rPr>
          <w:rFonts w:ascii="Calibri" w:hAnsi="Calibri"/>
          <w:b/>
        </w:rPr>
        <w:tab/>
      </w:r>
      <w:r w:rsidRPr="00B66889">
        <w:rPr>
          <w:rFonts w:ascii="Calibri" w:hAnsi="Calibri"/>
          <w:b/>
        </w:rPr>
        <w:tab/>
      </w:r>
      <w:r w:rsidRPr="00B66889">
        <w:rPr>
          <w:rFonts w:ascii="Calibri" w:hAnsi="Calibri"/>
          <w:b/>
        </w:rPr>
        <w:tab/>
      </w:r>
      <w:r w:rsidRPr="00B66889">
        <w:rPr>
          <w:rFonts w:ascii="Calibri" w:hAnsi="Calibri"/>
          <w:b/>
        </w:rPr>
        <w:tab/>
      </w:r>
    </w:p>
    <w:p w:rsidR="00F51626" w:rsidRPr="00B66889" w:rsidRDefault="00F51626" w:rsidP="00F51626">
      <w:pPr>
        <w:rPr>
          <w:rFonts w:ascii="Calibri" w:hAnsi="Calibri"/>
          <w:b/>
        </w:rPr>
      </w:pPr>
    </w:p>
    <w:p w:rsidR="00B66889" w:rsidRDefault="001C00B0" w:rsidP="00F51626">
      <w:pPr>
        <w:rPr>
          <w:rFonts w:ascii="Calibri" w:hAnsi="Calibri"/>
          <w:b/>
        </w:rPr>
      </w:pPr>
      <w:r>
        <w:rPr>
          <w:rFonts w:ascii="Calibri" w:hAnsi="Calibri"/>
          <w:b/>
        </w:rPr>
        <w:t xml:space="preserve">Lot 2 Pacific Highway, </w:t>
      </w:r>
      <w:r w:rsidR="00B66889" w:rsidRPr="00B66889">
        <w:rPr>
          <w:rFonts w:ascii="Calibri" w:hAnsi="Calibri"/>
          <w:b/>
        </w:rPr>
        <w:t>COOPERNOOK NSW 2426</w:t>
      </w:r>
      <w:r w:rsidR="00F51626" w:rsidRPr="00B66889">
        <w:rPr>
          <w:rFonts w:ascii="Calibri" w:hAnsi="Calibri"/>
          <w:b/>
        </w:rPr>
        <w:tab/>
      </w:r>
      <w:r w:rsidR="00F51626" w:rsidRPr="00B66889">
        <w:rPr>
          <w:rFonts w:ascii="Calibri" w:hAnsi="Calibri"/>
          <w:b/>
        </w:rPr>
        <w:tab/>
      </w:r>
      <w:r w:rsidR="00F51626" w:rsidRPr="00B66889">
        <w:rPr>
          <w:rFonts w:ascii="Calibri" w:hAnsi="Calibri"/>
          <w:b/>
        </w:rPr>
        <w:tab/>
        <w:t xml:space="preserve">  </w:t>
      </w:r>
      <w:r w:rsidR="00B66889">
        <w:rPr>
          <w:rFonts w:ascii="Calibri" w:hAnsi="Calibri"/>
          <w:b/>
        </w:rPr>
        <w:t xml:space="preserve">     </w:t>
      </w:r>
      <w:r w:rsidR="00F51626" w:rsidRPr="00B66889">
        <w:rPr>
          <w:rFonts w:ascii="Calibri" w:hAnsi="Calibri"/>
          <w:b/>
        </w:rPr>
        <w:t>Phone/Fax: 0265563755</w:t>
      </w:r>
      <w:r w:rsidR="00B66889">
        <w:rPr>
          <w:rFonts w:ascii="Calibri" w:hAnsi="Calibri"/>
          <w:b/>
        </w:rPr>
        <w:t xml:space="preserve">/ </w:t>
      </w:r>
      <w:r>
        <w:rPr>
          <w:rFonts w:ascii="Calibri" w:hAnsi="Calibri"/>
          <w:b/>
        </w:rPr>
        <w:t>Mobile Scott</w:t>
      </w:r>
      <w:r w:rsidR="00F51626" w:rsidRPr="00B66889">
        <w:rPr>
          <w:rFonts w:ascii="Calibri" w:hAnsi="Calibri"/>
          <w:b/>
        </w:rPr>
        <w:t>: 0408628110</w:t>
      </w:r>
    </w:p>
    <w:p w:rsidR="00F51626" w:rsidRPr="00B66889" w:rsidRDefault="00F51626" w:rsidP="00F51626">
      <w:pPr>
        <w:rPr>
          <w:rFonts w:ascii="Calibri" w:hAnsi="Calibri"/>
          <w:b/>
        </w:rPr>
      </w:pPr>
      <w:r w:rsidRPr="00B66889">
        <w:rPr>
          <w:rFonts w:ascii="Calibri" w:hAnsi="Calibri"/>
          <w:b/>
        </w:rPr>
        <w:tab/>
        <w:t xml:space="preserve">           </w:t>
      </w:r>
    </w:p>
    <w:p w:rsidR="00F51626" w:rsidRPr="00B66889" w:rsidRDefault="00F51626" w:rsidP="00CF1E5C">
      <w:pPr>
        <w:pBdr>
          <w:top w:val="single" w:sz="4" w:space="1" w:color="auto"/>
        </w:pBdr>
        <w:rPr>
          <w:sz w:val="4"/>
          <w:szCs w:val="4"/>
        </w:rPr>
      </w:pPr>
    </w:p>
    <w:p w:rsidR="00F51626" w:rsidRPr="00B66889" w:rsidRDefault="001C00B0" w:rsidP="00F51626">
      <w:pPr>
        <w:rPr>
          <w:rFonts w:ascii="Andalus" w:hAnsi="Andalus" w:cs="Andalus"/>
          <w:b/>
          <w:sz w:val="40"/>
          <w:szCs w:val="40"/>
        </w:rPr>
      </w:pPr>
      <w:r>
        <w:rPr>
          <w:rFonts w:ascii="Andalus" w:hAnsi="Andalus" w:cs="Andalus"/>
          <w:b/>
          <w:sz w:val="40"/>
          <w:szCs w:val="40"/>
        </w:rPr>
        <w:t xml:space="preserve">Bick Hire Policy - </w:t>
      </w:r>
      <w:proofErr w:type="gramStart"/>
      <w:r w:rsidR="00CF1E5C" w:rsidRPr="00B66889">
        <w:rPr>
          <w:rFonts w:ascii="Andalus" w:hAnsi="Andalus" w:cs="Andalus"/>
          <w:b/>
          <w:sz w:val="40"/>
          <w:szCs w:val="40"/>
        </w:rPr>
        <w:t>HARASSMENT  FREE</w:t>
      </w:r>
      <w:proofErr w:type="gramEnd"/>
      <w:r w:rsidR="00CF1E5C" w:rsidRPr="00B66889">
        <w:rPr>
          <w:rFonts w:ascii="Andalus" w:hAnsi="Andalus" w:cs="Andalus"/>
          <w:b/>
          <w:sz w:val="40"/>
          <w:szCs w:val="40"/>
        </w:rPr>
        <w:t xml:space="preserve">  </w:t>
      </w:r>
      <w:r>
        <w:rPr>
          <w:rFonts w:ascii="Andalus" w:hAnsi="Andalus" w:cs="Andalus"/>
          <w:b/>
          <w:sz w:val="40"/>
          <w:szCs w:val="40"/>
        </w:rPr>
        <w:t xml:space="preserve">WORKPLACE </w:t>
      </w:r>
    </w:p>
    <w:p w:rsidR="00F51626" w:rsidRPr="00B66889" w:rsidRDefault="00F51626" w:rsidP="00F51626">
      <w:pPr>
        <w:rPr>
          <w:rFonts w:ascii="Andalus" w:hAnsi="Andalus" w:cs="Andalus"/>
          <w:b/>
          <w:sz w:val="4"/>
          <w:szCs w:val="4"/>
        </w:rPr>
      </w:pPr>
    </w:p>
    <w:p w:rsidR="00F51626" w:rsidRPr="001C00B0" w:rsidRDefault="001C00B0" w:rsidP="00F51626">
      <w:pPr>
        <w:pBdr>
          <w:top w:val="single" w:sz="4" w:space="1" w:color="auto"/>
        </w:pBdr>
        <w:jc w:val="both"/>
        <w:rPr>
          <w:rFonts w:ascii="Andalus" w:hAnsi="Andalus" w:cs="Andalus"/>
          <w:b/>
        </w:rPr>
      </w:pPr>
      <w:r w:rsidRPr="001C00B0">
        <w:rPr>
          <w:rFonts w:ascii="Andalus" w:hAnsi="Andalus" w:cs="Andalus"/>
          <w:b/>
        </w:rPr>
        <w:t xml:space="preserve">Versions </w:t>
      </w:r>
      <w:r w:rsidRPr="001C00B0">
        <w:rPr>
          <w:rFonts w:ascii="Andalus" w:hAnsi="Andalus" w:cs="Andalus"/>
          <w:b/>
        </w:rPr>
        <w:tab/>
        <w:t>1</w:t>
      </w:r>
    </w:p>
    <w:p w:rsidR="001C00B0" w:rsidRPr="001C00B0" w:rsidRDefault="001C00B0" w:rsidP="00F51626">
      <w:pPr>
        <w:pBdr>
          <w:top w:val="single" w:sz="4" w:space="1" w:color="auto"/>
        </w:pBdr>
        <w:jc w:val="both"/>
        <w:rPr>
          <w:rFonts w:ascii="Andalus" w:hAnsi="Andalus" w:cs="Andalus"/>
          <w:b/>
        </w:rPr>
      </w:pPr>
      <w:r w:rsidRPr="001C00B0">
        <w:rPr>
          <w:rFonts w:ascii="Andalus" w:hAnsi="Andalus" w:cs="Andalus"/>
          <w:b/>
        </w:rPr>
        <w:t xml:space="preserve">Date </w:t>
      </w:r>
      <w:r w:rsidRPr="001C00B0">
        <w:rPr>
          <w:rFonts w:ascii="Andalus" w:hAnsi="Andalus" w:cs="Andalus"/>
          <w:b/>
        </w:rPr>
        <w:tab/>
      </w:r>
      <w:r>
        <w:rPr>
          <w:rFonts w:ascii="Andalus" w:hAnsi="Andalus" w:cs="Andalus"/>
          <w:b/>
        </w:rPr>
        <w:tab/>
      </w:r>
      <w:r w:rsidRPr="001C00B0">
        <w:rPr>
          <w:rFonts w:ascii="Andalus" w:hAnsi="Andalus" w:cs="Andalus"/>
          <w:b/>
        </w:rPr>
        <w:t>20</w:t>
      </w:r>
      <w:r w:rsidRPr="001C00B0">
        <w:rPr>
          <w:rFonts w:ascii="Andalus" w:hAnsi="Andalus" w:cs="Andalus"/>
          <w:b/>
          <w:vertAlign w:val="superscript"/>
        </w:rPr>
        <w:t>th</w:t>
      </w:r>
      <w:r w:rsidRPr="001C00B0">
        <w:rPr>
          <w:rFonts w:ascii="Andalus" w:hAnsi="Andalus" w:cs="Andalus"/>
          <w:b/>
        </w:rPr>
        <w:t xml:space="preserve"> October 2014</w:t>
      </w:r>
    </w:p>
    <w:p w:rsidR="00F51626" w:rsidRPr="00B66889" w:rsidRDefault="00F51626" w:rsidP="00F51626">
      <w:pPr>
        <w:jc w:val="both"/>
        <w:rPr>
          <w:rFonts w:ascii="Andalus" w:hAnsi="Andalus" w:cs="Andalus"/>
          <w:b/>
          <w:sz w:val="19"/>
          <w:szCs w:val="19"/>
          <w:u w:val="single"/>
        </w:rPr>
      </w:pPr>
      <w:r w:rsidRPr="00B66889">
        <w:rPr>
          <w:rFonts w:ascii="Andalus" w:hAnsi="Andalus" w:cs="Andalus"/>
          <w:b/>
          <w:sz w:val="19"/>
          <w:szCs w:val="19"/>
          <w:u w:val="single"/>
        </w:rPr>
        <w:t>AIM</w:t>
      </w:r>
    </w:p>
    <w:p w:rsidR="00F51626" w:rsidRPr="00B66889" w:rsidRDefault="00F51626" w:rsidP="00F51626">
      <w:pPr>
        <w:jc w:val="both"/>
        <w:rPr>
          <w:rFonts w:ascii="Andalus" w:hAnsi="Andalus" w:cs="Andalus"/>
          <w:b/>
          <w:sz w:val="12"/>
          <w:szCs w:val="12"/>
        </w:rPr>
      </w:pPr>
    </w:p>
    <w:p w:rsidR="00CF1E5C" w:rsidRPr="00B66889" w:rsidRDefault="00F51626" w:rsidP="00CF1E5C">
      <w:pPr>
        <w:jc w:val="both"/>
        <w:rPr>
          <w:rFonts w:ascii="Andalus" w:hAnsi="Andalus" w:cs="Andalus"/>
          <w:b/>
          <w:sz w:val="19"/>
          <w:szCs w:val="19"/>
        </w:rPr>
      </w:pPr>
      <w:r w:rsidRPr="00B66889">
        <w:rPr>
          <w:rFonts w:ascii="Andalus" w:hAnsi="Andalus" w:cs="Andalus"/>
          <w:b/>
          <w:sz w:val="19"/>
          <w:szCs w:val="19"/>
        </w:rPr>
        <w:t>Bick Hire aims</w:t>
      </w:r>
      <w:r w:rsidR="00CF1E5C" w:rsidRPr="00B66889">
        <w:rPr>
          <w:rFonts w:ascii="Andalus" w:hAnsi="Andalus" w:cs="Andalus"/>
          <w:b/>
          <w:sz w:val="19"/>
          <w:szCs w:val="19"/>
        </w:rPr>
        <w:t>:</w:t>
      </w:r>
    </w:p>
    <w:p w:rsidR="00F51626" w:rsidRPr="00B66889" w:rsidRDefault="00CF1E5C" w:rsidP="00CF1E5C">
      <w:pPr>
        <w:pStyle w:val="ListParagraph"/>
        <w:numPr>
          <w:ilvl w:val="0"/>
          <w:numId w:val="2"/>
        </w:numPr>
        <w:jc w:val="both"/>
        <w:rPr>
          <w:rFonts w:ascii="Andalus" w:hAnsi="Andalus" w:cs="Andalus"/>
          <w:b/>
          <w:sz w:val="19"/>
          <w:szCs w:val="19"/>
        </w:rPr>
      </w:pPr>
      <w:r w:rsidRPr="00B66889">
        <w:rPr>
          <w:rFonts w:ascii="Andalus" w:hAnsi="Andalus" w:cs="Andalus"/>
          <w:b/>
          <w:sz w:val="19"/>
          <w:szCs w:val="19"/>
        </w:rPr>
        <w:t xml:space="preserve">to provide a workplace free of sexual harassment and general or </w:t>
      </w:r>
      <w:proofErr w:type="spellStart"/>
      <w:r w:rsidRPr="00B66889">
        <w:rPr>
          <w:rFonts w:ascii="Andalus" w:hAnsi="Andalus" w:cs="Andalus"/>
          <w:b/>
          <w:sz w:val="19"/>
          <w:szCs w:val="19"/>
        </w:rPr>
        <w:t>intimidatory</w:t>
      </w:r>
      <w:proofErr w:type="spellEnd"/>
      <w:r w:rsidRPr="00B66889">
        <w:rPr>
          <w:rFonts w:ascii="Andalus" w:hAnsi="Andalus" w:cs="Andalus"/>
          <w:b/>
          <w:sz w:val="19"/>
          <w:szCs w:val="19"/>
        </w:rPr>
        <w:t xml:space="preserve"> harassment including bullying and victimisation: and</w:t>
      </w:r>
    </w:p>
    <w:p w:rsidR="00CF1E5C" w:rsidRPr="00B66889" w:rsidRDefault="00CF1E5C" w:rsidP="00CF1E5C">
      <w:pPr>
        <w:pStyle w:val="ListParagraph"/>
        <w:numPr>
          <w:ilvl w:val="0"/>
          <w:numId w:val="2"/>
        </w:numPr>
        <w:jc w:val="both"/>
        <w:rPr>
          <w:rFonts w:ascii="Andalus" w:hAnsi="Andalus" w:cs="Andalus"/>
          <w:b/>
          <w:sz w:val="19"/>
          <w:szCs w:val="19"/>
        </w:rPr>
      </w:pPr>
      <w:r w:rsidRPr="00B66889">
        <w:rPr>
          <w:rFonts w:ascii="Andalus" w:hAnsi="Andalus" w:cs="Andalus"/>
          <w:b/>
          <w:sz w:val="19"/>
          <w:szCs w:val="19"/>
        </w:rPr>
        <w:t>to maintain a workplace where people can work without feeling threatened or discomforted by the prospect of being harassed</w:t>
      </w:r>
    </w:p>
    <w:p w:rsidR="00CF1E5C" w:rsidRPr="00B66889" w:rsidRDefault="00CF1E5C" w:rsidP="00CF1E5C">
      <w:pPr>
        <w:pStyle w:val="ListParagraph"/>
        <w:ind w:left="784"/>
        <w:jc w:val="both"/>
        <w:rPr>
          <w:rFonts w:ascii="Andalus" w:hAnsi="Andalus" w:cs="Andalus"/>
          <w:b/>
          <w:sz w:val="12"/>
          <w:szCs w:val="12"/>
        </w:rPr>
      </w:pPr>
    </w:p>
    <w:p w:rsidR="00F51626" w:rsidRPr="00B66889" w:rsidRDefault="00F51626" w:rsidP="00F51626">
      <w:pPr>
        <w:jc w:val="both"/>
        <w:rPr>
          <w:rFonts w:ascii="Andalus" w:hAnsi="Andalus" w:cs="Andalus"/>
          <w:b/>
          <w:sz w:val="19"/>
          <w:szCs w:val="19"/>
          <w:u w:val="single"/>
        </w:rPr>
      </w:pPr>
      <w:r w:rsidRPr="00B66889">
        <w:rPr>
          <w:rFonts w:ascii="Andalus" w:hAnsi="Andalus" w:cs="Andalus"/>
          <w:b/>
          <w:sz w:val="19"/>
          <w:szCs w:val="19"/>
          <w:u w:val="single"/>
        </w:rPr>
        <w:t>APPLICATION</w:t>
      </w:r>
    </w:p>
    <w:p w:rsidR="00CF1E5C" w:rsidRPr="00B66889" w:rsidRDefault="00CF1E5C" w:rsidP="00F51626">
      <w:pPr>
        <w:jc w:val="both"/>
        <w:rPr>
          <w:rFonts w:ascii="Andalus" w:hAnsi="Andalus" w:cs="Andalus"/>
          <w:b/>
          <w:sz w:val="12"/>
          <w:szCs w:val="12"/>
          <w:u w:val="single"/>
        </w:rPr>
      </w:pPr>
    </w:p>
    <w:p w:rsidR="00CF1E5C" w:rsidRPr="00B66889" w:rsidRDefault="00CF1E5C" w:rsidP="00F51626">
      <w:pPr>
        <w:jc w:val="both"/>
        <w:rPr>
          <w:rFonts w:ascii="Andalus" w:hAnsi="Andalus" w:cs="Andalus"/>
          <w:b/>
          <w:sz w:val="19"/>
          <w:szCs w:val="19"/>
        </w:rPr>
      </w:pPr>
      <w:r w:rsidRPr="00B66889">
        <w:rPr>
          <w:rFonts w:ascii="Andalus" w:hAnsi="Andalus" w:cs="Andalus"/>
          <w:b/>
          <w:sz w:val="19"/>
          <w:szCs w:val="19"/>
        </w:rPr>
        <w:t>This policy applies to all those who are employed, contracted or associated with Bick Hire. Complaints of harassment will be handled confidentially, fairly and promptly. Harassment may be on and off or ongoing and where serious or continuing it is a dismis</w:t>
      </w:r>
      <w:r w:rsidR="00B66889">
        <w:rPr>
          <w:rFonts w:ascii="Andalus" w:hAnsi="Andalus" w:cs="Andalus"/>
          <w:b/>
          <w:sz w:val="19"/>
          <w:szCs w:val="19"/>
        </w:rPr>
        <w:t>si</w:t>
      </w:r>
      <w:r w:rsidRPr="00B66889">
        <w:rPr>
          <w:rFonts w:ascii="Andalus" w:hAnsi="Andalus" w:cs="Andalus"/>
          <w:b/>
          <w:sz w:val="19"/>
          <w:szCs w:val="19"/>
        </w:rPr>
        <w:t xml:space="preserve">ble offence. </w:t>
      </w:r>
    </w:p>
    <w:p w:rsidR="00CF1E5C" w:rsidRPr="00B66889" w:rsidRDefault="00CF1E5C" w:rsidP="00F51626">
      <w:pPr>
        <w:jc w:val="both"/>
        <w:rPr>
          <w:rFonts w:ascii="Andalus" w:hAnsi="Andalus" w:cs="Andalus"/>
          <w:b/>
          <w:sz w:val="12"/>
          <w:szCs w:val="12"/>
        </w:rPr>
      </w:pPr>
    </w:p>
    <w:p w:rsidR="00CF1E5C" w:rsidRPr="00B66889" w:rsidRDefault="00CF1E5C" w:rsidP="00F51626">
      <w:pPr>
        <w:jc w:val="both"/>
        <w:rPr>
          <w:rFonts w:ascii="Andalus" w:hAnsi="Andalus" w:cs="Andalus"/>
          <w:b/>
          <w:sz w:val="19"/>
          <w:szCs w:val="19"/>
          <w:u w:val="single"/>
        </w:rPr>
      </w:pPr>
      <w:r w:rsidRPr="00B66889">
        <w:rPr>
          <w:rFonts w:ascii="Andalus" w:hAnsi="Andalus" w:cs="Andalus"/>
          <w:b/>
          <w:sz w:val="19"/>
          <w:szCs w:val="19"/>
          <w:u w:val="single"/>
        </w:rPr>
        <w:t>SEXUAL HARASSMENT</w:t>
      </w:r>
    </w:p>
    <w:p w:rsidR="00CF1E5C" w:rsidRPr="00B66889" w:rsidRDefault="00CF1E5C" w:rsidP="00F51626">
      <w:pPr>
        <w:jc w:val="both"/>
        <w:rPr>
          <w:rFonts w:ascii="Andalus" w:hAnsi="Andalus" w:cs="Andalus"/>
          <w:b/>
          <w:sz w:val="12"/>
          <w:szCs w:val="12"/>
        </w:rPr>
      </w:pPr>
    </w:p>
    <w:p w:rsidR="00CF1E5C" w:rsidRPr="00B66889" w:rsidRDefault="00CF1E5C" w:rsidP="00F51626">
      <w:pPr>
        <w:jc w:val="both"/>
        <w:rPr>
          <w:rFonts w:ascii="Andalus" w:hAnsi="Andalus" w:cs="Andalus"/>
          <w:b/>
          <w:sz w:val="19"/>
          <w:szCs w:val="19"/>
        </w:rPr>
      </w:pPr>
      <w:r w:rsidRPr="00B66889">
        <w:rPr>
          <w:rFonts w:ascii="Andalus" w:hAnsi="Andalus" w:cs="Andalus"/>
          <w:b/>
          <w:sz w:val="19"/>
          <w:szCs w:val="19"/>
        </w:rPr>
        <w:t>Sexual Harassment is unwanted, unwelcome, uninvited behaviour of a sexual nature that is offensive from the point of view of the recipient, regardless of any ‘innocent intent’ on the part of the alleged defender. Men and women can be subjected to sexual harassment by a person of the same or the opposite sex.</w:t>
      </w:r>
    </w:p>
    <w:p w:rsidR="00CF1E5C" w:rsidRPr="00B66889" w:rsidRDefault="00CF1E5C" w:rsidP="00F51626">
      <w:pPr>
        <w:jc w:val="both"/>
        <w:rPr>
          <w:rFonts w:ascii="Andalus" w:hAnsi="Andalus" w:cs="Andalus"/>
          <w:b/>
          <w:sz w:val="12"/>
          <w:szCs w:val="12"/>
        </w:rPr>
      </w:pPr>
    </w:p>
    <w:p w:rsidR="00CF1E5C" w:rsidRPr="00B66889" w:rsidRDefault="00CF1E5C" w:rsidP="00F51626">
      <w:pPr>
        <w:jc w:val="both"/>
        <w:rPr>
          <w:rFonts w:ascii="Andalus" w:hAnsi="Andalus" w:cs="Andalus"/>
          <w:b/>
          <w:sz w:val="19"/>
          <w:szCs w:val="19"/>
        </w:rPr>
      </w:pPr>
      <w:r w:rsidRPr="00B66889">
        <w:rPr>
          <w:rFonts w:ascii="Andalus" w:hAnsi="Andalus" w:cs="Andalus"/>
          <w:b/>
          <w:sz w:val="19"/>
          <w:szCs w:val="19"/>
        </w:rPr>
        <w:t>Sexual Harassment includes</w:t>
      </w:r>
      <w:proofErr w:type="gramStart"/>
      <w:r w:rsidRPr="00B66889">
        <w:rPr>
          <w:rFonts w:ascii="Andalus" w:hAnsi="Andalus" w:cs="Andalus"/>
          <w:b/>
          <w:sz w:val="19"/>
          <w:szCs w:val="19"/>
        </w:rPr>
        <w:t>,  but</w:t>
      </w:r>
      <w:proofErr w:type="gramEnd"/>
      <w:r w:rsidRPr="00B66889">
        <w:rPr>
          <w:rFonts w:ascii="Andalus" w:hAnsi="Andalus" w:cs="Andalus"/>
          <w:b/>
          <w:sz w:val="19"/>
          <w:szCs w:val="19"/>
        </w:rPr>
        <w:t xml:space="preserve"> is not limited to, such actions as;</w:t>
      </w:r>
    </w:p>
    <w:p w:rsidR="00CF1E5C" w:rsidRPr="00B66889" w:rsidRDefault="00CF1E5C" w:rsidP="00CF1E5C">
      <w:pPr>
        <w:pStyle w:val="ListParagraph"/>
        <w:numPr>
          <w:ilvl w:val="0"/>
          <w:numId w:val="3"/>
        </w:numPr>
        <w:jc w:val="both"/>
        <w:rPr>
          <w:rFonts w:ascii="Andalus" w:hAnsi="Andalus" w:cs="Andalus"/>
          <w:b/>
          <w:sz w:val="19"/>
          <w:szCs w:val="19"/>
        </w:rPr>
      </w:pPr>
      <w:r w:rsidRPr="00B66889">
        <w:rPr>
          <w:rFonts w:ascii="Andalus" w:hAnsi="Andalus" w:cs="Andalus"/>
          <w:b/>
          <w:sz w:val="19"/>
          <w:szCs w:val="19"/>
        </w:rPr>
        <w:t>displays of offensive or pornographic material;</w:t>
      </w:r>
    </w:p>
    <w:p w:rsidR="00CF1E5C" w:rsidRPr="00B66889" w:rsidRDefault="00CF1E5C" w:rsidP="00CF1E5C">
      <w:pPr>
        <w:pStyle w:val="ListParagraph"/>
        <w:numPr>
          <w:ilvl w:val="0"/>
          <w:numId w:val="3"/>
        </w:numPr>
        <w:jc w:val="both"/>
        <w:rPr>
          <w:rFonts w:ascii="Andalus" w:hAnsi="Andalus" w:cs="Andalus"/>
          <w:b/>
          <w:sz w:val="19"/>
          <w:szCs w:val="19"/>
        </w:rPr>
      </w:pPr>
      <w:r w:rsidRPr="00B66889">
        <w:rPr>
          <w:rFonts w:ascii="Andalus" w:hAnsi="Andalus" w:cs="Andalus"/>
          <w:b/>
          <w:sz w:val="19"/>
          <w:szCs w:val="19"/>
        </w:rPr>
        <w:t>offensive communications, both verbal and written;</w:t>
      </w:r>
    </w:p>
    <w:p w:rsidR="00CF1E5C" w:rsidRPr="00B66889" w:rsidRDefault="00CF1E5C" w:rsidP="00CF1E5C">
      <w:pPr>
        <w:pStyle w:val="ListParagraph"/>
        <w:numPr>
          <w:ilvl w:val="0"/>
          <w:numId w:val="3"/>
        </w:numPr>
        <w:jc w:val="both"/>
        <w:rPr>
          <w:rFonts w:ascii="Andalus" w:hAnsi="Andalus" w:cs="Andalus"/>
          <w:b/>
          <w:sz w:val="19"/>
          <w:szCs w:val="19"/>
        </w:rPr>
      </w:pPr>
      <w:r w:rsidRPr="00B66889">
        <w:rPr>
          <w:rFonts w:ascii="Andalus" w:hAnsi="Andalus" w:cs="Andalus"/>
          <w:b/>
          <w:sz w:val="19"/>
          <w:szCs w:val="19"/>
        </w:rPr>
        <w:t>sexist or sexual jokes or comments;</w:t>
      </w:r>
    </w:p>
    <w:p w:rsidR="00CF1E5C" w:rsidRPr="00B66889" w:rsidRDefault="00CF1E5C" w:rsidP="00CF1E5C">
      <w:pPr>
        <w:pStyle w:val="ListParagraph"/>
        <w:numPr>
          <w:ilvl w:val="0"/>
          <w:numId w:val="3"/>
        </w:numPr>
        <w:jc w:val="both"/>
        <w:rPr>
          <w:rFonts w:ascii="Andalus" w:hAnsi="Andalus" w:cs="Andalus"/>
          <w:b/>
          <w:sz w:val="19"/>
          <w:szCs w:val="19"/>
        </w:rPr>
      </w:pPr>
      <w:r w:rsidRPr="00B66889">
        <w:rPr>
          <w:rFonts w:ascii="Andalus" w:hAnsi="Andalus" w:cs="Andalus"/>
          <w:b/>
          <w:sz w:val="19"/>
          <w:szCs w:val="19"/>
        </w:rPr>
        <w:t>uninvited and un</w:t>
      </w:r>
      <w:r w:rsidR="00B66889">
        <w:rPr>
          <w:rFonts w:ascii="Andalus" w:hAnsi="Andalus" w:cs="Andalus"/>
          <w:b/>
          <w:sz w:val="19"/>
          <w:szCs w:val="19"/>
        </w:rPr>
        <w:t>n</w:t>
      </w:r>
      <w:r w:rsidRPr="00B66889">
        <w:rPr>
          <w:rFonts w:ascii="Andalus" w:hAnsi="Andalus" w:cs="Andalus"/>
          <w:b/>
          <w:sz w:val="19"/>
          <w:szCs w:val="19"/>
        </w:rPr>
        <w:t>e</w:t>
      </w:r>
      <w:r w:rsidR="00B66889">
        <w:rPr>
          <w:rFonts w:ascii="Andalus" w:hAnsi="Andalus" w:cs="Andalus"/>
          <w:b/>
          <w:sz w:val="19"/>
          <w:szCs w:val="19"/>
        </w:rPr>
        <w:t>ce</w:t>
      </w:r>
      <w:r w:rsidRPr="00B66889">
        <w:rPr>
          <w:rFonts w:ascii="Andalus" w:hAnsi="Andalus" w:cs="Andalus"/>
          <w:b/>
          <w:sz w:val="19"/>
          <w:szCs w:val="19"/>
        </w:rPr>
        <w:t>ssary physical contact and gestures;</w:t>
      </w:r>
    </w:p>
    <w:p w:rsidR="00CF1E5C" w:rsidRPr="00B66889" w:rsidRDefault="00CF1E5C" w:rsidP="00CF1E5C">
      <w:pPr>
        <w:pStyle w:val="ListParagraph"/>
        <w:numPr>
          <w:ilvl w:val="0"/>
          <w:numId w:val="3"/>
        </w:numPr>
        <w:jc w:val="both"/>
        <w:rPr>
          <w:rFonts w:ascii="Andalus" w:hAnsi="Andalus" w:cs="Andalus"/>
          <w:b/>
          <w:sz w:val="19"/>
          <w:szCs w:val="19"/>
        </w:rPr>
      </w:pPr>
      <w:r w:rsidRPr="00B66889">
        <w:rPr>
          <w:rFonts w:ascii="Andalus" w:hAnsi="Andalus" w:cs="Andalus"/>
          <w:b/>
          <w:sz w:val="19"/>
          <w:szCs w:val="19"/>
        </w:rPr>
        <w:t>innuendo including sexual insinuations and suggestive or derogatory comments;</w:t>
      </w:r>
    </w:p>
    <w:p w:rsidR="00CF1E5C" w:rsidRPr="00B66889" w:rsidRDefault="00CF1E5C" w:rsidP="00CF1E5C">
      <w:pPr>
        <w:pStyle w:val="ListParagraph"/>
        <w:numPr>
          <w:ilvl w:val="0"/>
          <w:numId w:val="3"/>
        </w:numPr>
        <w:jc w:val="both"/>
        <w:rPr>
          <w:rFonts w:ascii="Andalus" w:hAnsi="Andalus" w:cs="Andalus"/>
          <w:b/>
          <w:sz w:val="19"/>
          <w:szCs w:val="19"/>
        </w:rPr>
      </w:pPr>
      <w:r w:rsidRPr="00B66889">
        <w:rPr>
          <w:rFonts w:ascii="Andalus" w:hAnsi="Andalus" w:cs="Andalus"/>
          <w:b/>
          <w:sz w:val="19"/>
          <w:szCs w:val="19"/>
        </w:rPr>
        <w:t>unwanted invitations (especially after prior refusal</w:t>
      </w:r>
      <w:r w:rsidR="00B66889" w:rsidRPr="00B66889">
        <w:rPr>
          <w:rFonts w:ascii="Andalus" w:hAnsi="Andalus" w:cs="Andalus"/>
          <w:b/>
          <w:sz w:val="19"/>
          <w:szCs w:val="19"/>
        </w:rPr>
        <w:t>);</w:t>
      </w:r>
    </w:p>
    <w:p w:rsidR="00B66889" w:rsidRPr="00B66889" w:rsidRDefault="00B66889" w:rsidP="00CF1E5C">
      <w:pPr>
        <w:pStyle w:val="ListParagraph"/>
        <w:numPr>
          <w:ilvl w:val="0"/>
          <w:numId w:val="3"/>
        </w:numPr>
        <w:jc w:val="both"/>
        <w:rPr>
          <w:rFonts w:ascii="Andalus" w:hAnsi="Andalus" w:cs="Andalus"/>
          <w:b/>
          <w:sz w:val="19"/>
          <w:szCs w:val="19"/>
        </w:rPr>
      </w:pPr>
      <w:r w:rsidRPr="00B66889">
        <w:rPr>
          <w:rFonts w:ascii="Andalus" w:hAnsi="Andalus" w:cs="Andalus"/>
          <w:b/>
          <w:sz w:val="19"/>
          <w:szCs w:val="19"/>
        </w:rPr>
        <w:t>unwelcome requests f</w:t>
      </w:r>
      <w:r>
        <w:rPr>
          <w:rFonts w:ascii="Andalus" w:hAnsi="Andalus" w:cs="Andalus"/>
          <w:b/>
          <w:sz w:val="19"/>
          <w:szCs w:val="19"/>
        </w:rPr>
        <w:t>or</w:t>
      </w:r>
      <w:r w:rsidRPr="00B66889">
        <w:rPr>
          <w:rFonts w:ascii="Andalus" w:hAnsi="Andalus" w:cs="Andalus"/>
          <w:b/>
          <w:sz w:val="19"/>
          <w:szCs w:val="19"/>
        </w:rPr>
        <w:t xml:space="preserve"> sexual favours; and</w:t>
      </w:r>
    </w:p>
    <w:p w:rsidR="00B66889" w:rsidRPr="00B66889" w:rsidRDefault="00B66889" w:rsidP="00CF1E5C">
      <w:pPr>
        <w:pStyle w:val="ListParagraph"/>
        <w:numPr>
          <w:ilvl w:val="0"/>
          <w:numId w:val="3"/>
        </w:numPr>
        <w:jc w:val="both"/>
        <w:rPr>
          <w:rFonts w:ascii="Andalus" w:hAnsi="Andalus" w:cs="Andalus"/>
          <w:b/>
          <w:sz w:val="19"/>
          <w:szCs w:val="19"/>
        </w:rPr>
      </w:pPr>
      <w:proofErr w:type="gramStart"/>
      <w:r w:rsidRPr="00B66889">
        <w:rPr>
          <w:rFonts w:ascii="Andalus" w:hAnsi="Andalus" w:cs="Andalus"/>
          <w:b/>
          <w:sz w:val="19"/>
          <w:szCs w:val="19"/>
        </w:rPr>
        <w:t>intrusive</w:t>
      </w:r>
      <w:proofErr w:type="gramEnd"/>
      <w:r w:rsidRPr="00B66889">
        <w:rPr>
          <w:rFonts w:ascii="Andalus" w:hAnsi="Andalus" w:cs="Andalus"/>
          <w:b/>
          <w:sz w:val="19"/>
          <w:szCs w:val="19"/>
        </w:rPr>
        <w:t xml:space="preserve"> questions or insinuations about a person’s private life.</w:t>
      </w:r>
    </w:p>
    <w:p w:rsidR="00B66889" w:rsidRPr="00B66889" w:rsidRDefault="00B66889" w:rsidP="00B66889">
      <w:pPr>
        <w:jc w:val="both"/>
        <w:rPr>
          <w:rFonts w:ascii="Andalus" w:hAnsi="Andalus" w:cs="Andalus"/>
          <w:b/>
          <w:sz w:val="12"/>
          <w:szCs w:val="12"/>
        </w:rPr>
      </w:pPr>
    </w:p>
    <w:p w:rsidR="00B66889" w:rsidRPr="00B66889" w:rsidRDefault="00B66889" w:rsidP="00B66889">
      <w:pPr>
        <w:jc w:val="both"/>
        <w:rPr>
          <w:rFonts w:ascii="Andalus" w:hAnsi="Andalus" w:cs="Andalus"/>
          <w:b/>
          <w:sz w:val="19"/>
          <w:szCs w:val="19"/>
        </w:rPr>
      </w:pPr>
      <w:r w:rsidRPr="00B66889">
        <w:rPr>
          <w:rFonts w:ascii="Andalus" w:hAnsi="Andalus" w:cs="Andalus"/>
          <w:b/>
          <w:sz w:val="19"/>
          <w:szCs w:val="19"/>
          <w:u w:val="single"/>
        </w:rPr>
        <w:t>GENERAL HARASSMENT</w:t>
      </w:r>
      <w:r w:rsidRPr="00B66889">
        <w:rPr>
          <w:rFonts w:ascii="Andalus" w:hAnsi="Andalus" w:cs="Andalus"/>
          <w:b/>
          <w:sz w:val="19"/>
          <w:szCs w:val="19"/>
        </w:rPr>
        <w:t xml:space="preserve"> (Bullying and Victimisation)</w:t>
      </w:r>
    </w:p>
    <w:p w:rsidR="00B66889" w:rsidRPr="00B66889" w:rsidRDefault="00B66889" w:rsidP="00B66889">
      <w:pPr>
        <w:jc w:val="both"/>
        <w:rPr>
          <w:rFonts w:ascii="Andalus" w:hAnsi="Andalus" w:cs="Andalus"/>
          <w:b/>
          <w:sz w:val="12"/>
          <w:szCs w:val="12"/>
        </w:rPr>
      </w:pPr>
    </w:p>
    <w:p w:rsidR="00B66889" w:rsidRPr="00B66889" w:rsidRDefault="00B66889" w:rsidP="00B66889">
      <w:pPr>
        <w:jc w:val="both"/>
        <w:rPr>
          <w:rFonts w:ascii="Andalus" w:hAnsi="Andalus" w:cs="Andalus"/>
          <w:b/>
          <w:sz w:val="19"/>
          <w:szCs w:val="19"/>
        </w:rPr>
      </w:pPr>
      <w:r w:rsidRPr="00B66889">
        <w:rPr>
          <w:rFonts w:ascii="Andalus" w:hAnsi="Andalus" w:cs="Andalus"/>
          <w:b/>
          <w:sz w:val="19"/>
          <w:szCs w:val="19"/>
        </w:rPr>
        <w:t xml:space="preserve">Bullying </w:t>
      </w:r>
      <w:proofErr w:type="gramStart"/>
      <w:r w:rsidRPr="00B66889">
        <w:rPr>
          <w:rFonts w:ascii="Andalus" w:hAnsi="Andalus" w:cs="Andalus"/>
          <w:b/>
          <w:sz w:val="19"/>
          <w:szCs w:val="19"/>
        </w:rPr>
        <w:t>is  a</w:t>
      </w:r>
      <w:proofErr w:type="gramEnd"/>
      <w:r>
        <w:rPr>
          <w:rFonts w:ascii="Andalus" w:hAnsi="Andalus" w:cs="Andalus"/>
          <w:b/>
          <w:sz w:val="19"/>
          <w:szCs w:val="19"/>
        </w:rPr>
        <w:t xml:space="preserve"> </w:t>
      </w:r>
      <w:r w:rsidRPr="00B66889">
        <w:rPr>
          <w:rFonts w:ascii="Andalus" w:hAnsi="Andalus" w:cs="Andalus"/>
          <w:b/>
          <w:sz w:val="19"/>
          <w:szCs w:val="19"/>
        </w:rPr>
        <w:t>situation where a person is systematically mistreated at work. Bullying includes subjecting someone to;</w:t>
      </w:r>
    </w:p>
    <w:p w:rsidR="00B66889" w:rsidRPr="00B66889" w:rsidRDefault="00B66889" w:rsidP="00B66889">
      <w:pPr>
        <w:pStyle w:val="ListParagraph"/>
        <w:numPr>
          <w:ilvl w:val="0"/>
          <w:numId w:val="5"/>
        </w:numPr>
        <w:jc w:val="both"/>
        <w:rPr>
          <w:rFonts w:ascii="Andalus" w:hAnsi="Andalus" w:cs="Andalus"/>
          <w:b/>
          <w:sz w:val="19"/>
          <w:szCs w:val="19"/>
        </w:rPr>
      </w:pPr>
      <w:r w:rsidRPr="00B66889">
        <w:rPr>
          <w:rFonts w:ascii="Andalus" w:hAnsi="Andalus" w:cs="Andalus"/>
          <w:b/>
          <w:sz w:val="19"/>
          <w:szCs w:val="19"/>
        </w:rPr>
        <w:t>yelling, screaming or abusive language;</w:t>
      </w:r>
    </w:p>
    <w:p w:rsidR="00B66889" w:rsidRPr="00B66889" w:rsidRDefault="00B66889" w:rsidP="00B66889">
      <w:pPr>
        <w:pStyle w:val="ListParagraph"/>
        <w:numPr>
          <w:ilvl w:val="0"/>
          <w:numId w:val="5"/>
        </w:numPr>
        <w:jc w:val="both"/>
        <w:rPr>
          <w:rFonts w:ascii="Andalus" w:hAnsi="Andalus" w:cs="Andalus"/>
          <w:b/>
          <w:sz w:val="19"/>
          <w:szCs w:val="19"/>
        </w:rPr>
      </w:pPr>
      <w:r w:rsidRPr="00B66889">
        <w:rPr>
          <w:rFonts w:ascii="Andalus" w:hAnsi="Andalus" w:cs="Andalus"/>
          <w:b/>
          <w:sz w:val="19"/>
          <w:szCs w:val="19"/>
        </w:rPr>
        <w:t>continual criti</w:t>
      </w:r>
      <w:r>
        <w:rPr>
          <w:rFonts w:ascii="Andalus" w:hAnsi="Andalus" w:cs="Andalus"/>
          <w:b/>
          <w:sz w:val="19"/>
          <w:szCs w:val="19"/>
        </w:rPr>
        <w:t>ci</w:t>
      </w:r>
      <w:r w:rsidRPr="00B66889">
        <w:rPr>
          <w:rFonts w:ascii="Andalus" w:hAnsi="Andalus" w:cs="Andalus"/>
          <w:b/>
          <w:sz w:val="19"/>
          <w:szCs w:val="19"/>
        </w:rPr>
        <w:t>sm;</w:t>
      </w:r>
    </w:p>
    <w:p w:rsidR="00B66889" w:rsidRPr="00B66889" w:rsidRDefault="00B66889" w:rsidP="00B66889">
      <w:pPr>
        <w:pStyle w:val="ListParagraph"/>
        <w:numPr>
          <w:ilvl w:val="0"/>
          <w:numId w:val="5"/>
        </w:numPr>
        <w:jc w:val="both"/>
        <w:rPr>
          <w:rFonts w:ascii="Andalus" w:hAnsi="Andalus" w:cs="Andalus"/>
          <w:b/>
          <w:sz w:val="19"/>
          <w:szCs w:val="19"/>
        </w:rPr>
      </w:pPr>
      <w:r w:rsidRPr="00B66889">
        <w:rPr>
          <w:rFonts w:ascii="Andalus" w:hAnsi="Andalus" w:cs="Andalus"/>
          <w:b/>
          <w:sz w:val="19"/>
          <w:szCs w:val="19"/>
        </w:rPr>
        <w:t>isolation or cutting off all contact; and</w:t>
      </w:r>
    </w:p>
    <w:p w:rsidR="00B66889" w:rsidRPr="00B66889" w:rsidRDefault="00B66889" w:rsidP="00B66889">
      <w:pPr>
        <w:pStyle w:val="ListParagraph"/>
        <w:numPr>
          <w:ilvl w:val="0"/>
          <w:numId w:val="5"/>
        </w:numPr>
        <w:jc w:val="both"/>
        <w:rPr>
          <w:rFonts w:ascii="Andalus" w:hAnsi="Andalus" w:cs="Andalus"/>
          <w:b/>
          <w:sz w:val="19"/>
          <w:szCs w:val="19"/>
        </w:rPr>
      </w:pPr>
      <w:proofErr w:type="gramStart"/>
      <w:r w:rsidRPr="00B66889">
        <w:rPr>
          <w:rFonts w:ascii="Andalus" w:hAnsi="Andalus" w:cs="Andalus"/>
          <w:b/>
          <w:sz w:val="19"/>
          <w:szCs w:val="19"/>
        </w:rPr>
        <w:t>the</w:t>
      </w:r>
      <w:proofErr w:type="gramEnd"/>
      <w:r w:rsidRPr="00B66889">
        <w:rPr>
          <w:rFonts w:ascii="Andalus" w:hAnsi="Andalus" w:cs="Andalus"/>
          <w:b/>
          <w:sz w:val="19"/>
          <w:szCs w:val="19"/>
        </w:rPr>
        <w:t xml:space="preserve"> sabotaging of their ability to do their work.</w:t>
      </w:r>
    </w:p>
    <w:p w:rsidR="00B66889" w:rsidRPr="00B66889" w:rsidRDefault="00B66889" w:rsidP="00B66889">
      <w:pPr>
        <w:jc w:val="both"/>
        <w:rPr>
          <w:rFonts w:ascii="Andalus" w:hAnsi="Andalus" w:cs="Andalus"/>
          <w:b/>
          <w:sz w:val="12"/>
          <w:szCs w:val="12"/>
        </w:rPr>
      </w:pPr>
    </w:p>
    <w:p w:rsidR="00F51626" w:rsidRDefault="00B66889" w:rsidP="00F51626">
      <w:pPr>
        <w:jc w:val="both"/>
        <w:rPr>
          <w:rFonts w:ascii="Andalus" w:hAnsi="Andalus" w:cs="Andalus"/>
          <w:b/>
          <w:sz w:val="19"/>
          <w:szCs w:val="19"/>
        </w:rPr>
      </w:pPr>
      <w:r w:rsidRPr="00B66889">
        <w:rPr>
          <w:rFonts w:ascii="Andalus" w:hAnsi="Andalus" w:cs="Andalus"/>
          <w:b/>
          <w:sz w:val="19"/>
          <w:szCs w:val="19"/>
        </w:rPr>
        <w:t xml:space="preserve">Victimisation involves </w:t>
      </w:r>
      <w:proofErr w:type="spellStart"/>
      <w:r w:rsidRPr="00B66889">
        <w:rPr>
          <w:rFonts w:ascii="Andalus" w:hAnsi="Andalus" w:cs="Andalus"/>
          <w:b/>
          <w:sz w:val="19"/>
          <w:szCs w:val="19"/>
        </w:rPr>
        <w:t>intimidatory</w:t>
      </w:r>
      <w:proofErr w:type="spellEnd"/>
      <w:r w:rsidRPr="00B66889">
        <w:rPr>
          <w:rFonts w:ascii="Andalus" w:hAnsi="Andalus" w:cs="Andalus"/>
          <w:b/>
          <w:sz w:val="19"/>
          <w:szCs w:val="19"/>
        </w:rPr>
        <w:t xml:space="preserve"> behaviour directed against a person who has made or proposes to make a complaint against the harass</w:t>
      </w:r>
      <w:r>
        <w:rPr>
          <w:rFonts w:ascii="Andalus" w:hAnsi="Andalus" w:cs="Andalus"/>
          <w:b/>
          <w:sz w:val="19"/>
          <w:szCs w:val="19"/>
        </w:rPr>
        <w:t>e</w:t>
      </w:r>
      <w:r w:rsidRPr="00B66889">
        <w:rPr>
          <w:rFonts w:ascii="Andalus" w:hAnsi="Andalus" w:cs="Andalus"/>
          <w:b/>
          <w:sz w:val="19"/>
          <w:szCs w:val="19"/>
        </w:rPr>
        <w:t>r; or is, will be or has been a witness against the harasser.</w:t>
      </w:r>
    </w:p>
    <w:p w:rsidR="00EE2C8A" w:rsidRPr="00B66889" w:rsidRDefault="00EE2C8A" w:rsidP="00F51626">
      <w:pPr>
        <w:jc w:val="both"/>
        <w:rPr>
          <w:rFonts w:ascii="Andalus" w:hAnsi="Andalus" w:cs="Andalus"/>
          <w:b/>
          <w:sz w:val="19"/>
          <w:szCs w:val="19"/>
        </w:rPr>
      </w:pPr>
      <w:r>
        <w:rPr>
          <w:rFonts w:ascii="Andalus" w:hAnsi="Andalus" w:cs="Andalus"/>
          <w:b/>
          <w:sz w:val="19"/>
          <w:szCs w:val="19"/>
        </w:rPr>
        <w:lastRenderedPageBreak/>
        <w:t>Scott Frayne, Director</w:t>
      </w:r>
    </w:p>
    <w:sectPr w:rsidR="00EE2C8A" w:rsidRPr="00B66889" w:rsidSect="00B66889">
      <w:headerReference w:type="even" r:id="rId9"/>
      <w:headerReference w:type="default" r:id="rId10"/>
      <w:headerReference w:type="first" r:id="rId11"/>
      <w:pgSz w:w="11907" w:h="16840" w:code="9"/>
      <w:pgMar w:top="720" w:right="720" w:bottom="720" w:left="720" w:header="709" w:footer="709" w:gutter="0"/>
      <w:cols w:space="19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9F1" w:rsidRDefault="002409F1" w:rsidP="002E52A8">
      <w:r>
        <w:separator/>
      </w:r>
    </w:p>
  </w:endnote>
  <w:endnote w:type="continuationSeparator" w:id="0">
    <w:p w:rsidR="002409F1" w:rsidRDefault="002409F1" w:rsidP="002E52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9F1" w:rsidRDefault="002409F1" w:rsidP="002E52A8">
      <w:r>
        <w:separator/>
      </w:r>
    </w:p>
  </w:footnote>
  <w:footnote w:type="continuationSeparator" w:id="0">
    <w:p w:rsidR="002409F1" w:rsidRDefault="002409F1" w:rsidP="002E5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89" w:rsidRDefault="002E52A8">
    <w:pPr>
      <w:pStyle w:val="Header"/>
    </w:pPr>
    <w:r w:rsidRPr="002E52A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0.25pt;height:322.7pt;z-index:-251655168;mso-position-horizontal:center;mso-position-horizontal-relative:margin;mso-position-vertical:center;mso-position-vertical-relative:margin" o:allowincell="f">
          <v:imagedata r:id="rId1" o:title="PRAC PIC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89" w:rsidRDefault="002E52A8">
    <w:pPr>
      <w:pStyle w:val="Header"/>
    </w:pPr>
    <w:r w:rsidRPr="002E52A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0.25pt;height:322.7pt;z-index:-251654144;mso-position-horizontal:center;mso-position-horizontal-relative:margin;mso-position-vertical:center;mso-position-vertical-relative:margin" o:allowincell="f">
          <v:imagedata r:id="rId1" o:title="PRAC PIC 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89" w:rsidRDefault="002E52A8">
    <w:pPr>
      <w:pStyle w:val="Header"/>
    </w:pPr>
    <w:r w:rsidRPr="002E52A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30.25pt;height:322.7pt;z-index:-251656192;mso-position-horizontal:center;mso-position-horizontal-relative:margin;mso-position-vertical:center;mso-position-vertical-relative:margin" o:allowincell="f">
          <v:imagedata r:id="rId1" o:title="PRAC PIC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53D60"/>
    <w:multiLevelType w:val="hybridMultilevel"/>
    <w:tmpl w:val="AAF647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0422F43"/>
    <w:multiLevelType w:val="hybridMultilevel"/>
    <w:tmpl w:val="B8F65526"/>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
    <w:nsid w:val="284771BA"/>
    <w:multiLevelType w:val="hybridMultilevel"/>
    <w:tmpl w:val="60425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B2531B"/>
    <w:multiLevelType w:val="hybridMultilevel"/>
    <w:tmpl w:val="ED6279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7196A10"/>
    <w:multiLevelType w:val="hybridMultilevel"/>
    <w:tmpl w:val="5AB2E2C2"/>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grammar="clean"/>
  <w:defaultTabStop w:val="720"/>
  <w:drawingGridHorizontalSpacing w:val="10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F51626"/>
    <w:rsid w:val="001C00B0"/>
    <w:rsid w:val="002409F1"/>
    <w:rsid w:val="002E52A8"/>
    <w:rsid w:val="00746C6F"/>
    <w:rsid w:val="00817A46"/>
    <w:rsid w:val="00927952"/>
    <w:rsid w:val="00B66889"/>
    <w:rsid w:val="00CF1E5C"/>
    <w:rsid w:val="00EE2C8A"/>
    <w:rsid w:val="00F51626"/>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62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1626"/>
    <w:pPr>
      <w:tabs>
        <w:tab w:val="center" w:pos="4320"/>
        <w:tab w:val="right" w:pos="8640"/>
      </w:tabs>
    </w:pPr>
  </w:style>
  <w:style w:type="character" w:customStyle="1" w:styleId="HeaderChar">
    <w:name w:val="Header Char"/>
    <w:basedOn w:val="DefaultParagraphFont"/>
    <w:link w:val="Header"/>
    <w:rsid w:val="00F516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51626"/>
    <w:rPr>
      <w:rFonts w:ascii="Tahoma" w:hAnsi="Tahoma" w:cs="Tahoma"/>
      <w:sz w:val="16"/>
      <w:szCs w:val="16"/>
    </w:rPr>
  </w:style>
  <w:style w:type="character" w:customStyle="1" w:styleId="BalloonTextChar">
    <w:name w:val="Balloon Text Char"/>
    <w:basedOn w:val="DefaultParagraphFont"/>
    <w:link w:val="BalloonText"/>
    <w:uiPriority w:val="99"/>
    <w:semiHidden/>
    <w:rsid w:val="00F51626"/>
    <w:rPr>
      <w:rFonts w:ascii="Tahoma" w:eastAsia="Times New Roman" w:hAnsi="Tahoma" w:cs="Tahoma"/>
      <w:sz w:val="16"/>
      <w:szCs w:val="16"/>
    </w:rPr>
  </w:style>
  <w:style w:type="paragraph" w:styleId="ListParagraph">
    <w:name w:val="List Paragraph"/>
    <w:basedOn w:val="Normal"/>
    <w:uiPriority w:val="34"/>
    <w:qFormat/>
    <w:rsid w:val="00CF1E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515BD-DA52-4C3B-BCF3-EA20D7EB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bick</dc:creator>
  <cp:lastModifiedBy>Owner</cp:lastModifiedBy>
  <cp:revision>6</cp:revision>
  <cp:lastPrinted>2010-08-17T06:36:00Z</cp:lastPrinted>
  <dcterms:created xsi:type="dcterms:W3CDTF">2010-08-17T06:15:00Z</dcterms:created>
  <dcterms:modified xsi:type="dcterms:W3CDTF">2014-10-23T23:10:00Z</dcterms:modified>
</cp:coreProperties>
</file>